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bookmarkStart w:id="0" w:name="_GoBack"/>
      <w:bookmarkEnd w:id="0"/>
      <w:r>
        <w:rPr/>
        <w:drawing>
          <wp:inline distB="0" distL="0" distR="0" distT="0">
            <wp:extent cx="2814955" cy="147193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color w:val="339933"/>
          <w:sz w:val="32"/>
          <w:szCs w:val="32"/>
        </w:rPr>
        <w:t>PROPOZÍCIE SÚŤAŽE</w:t>
      </w:r>
    </w:p>
    <w:p>
      <w:pPr>
        <w:pStyle w:val="style0"/>
        <w:jc w:val="center"/>
      </w:pPr>
      <w:r>
        <w:rPr>
          <w:rFonts w:ascii="Arial" w:cs="Arial" w:hAnsi="Arial"/>
          <w:b/>
          <w:bCs/>
          <w:iCs/>
          <w:color w:val="339933"/>
          <w:sz w:val="32"/>
          <w:szCs w:val="32"/>
        </w:rPr>
        <w:t>McDonald's Cup 2016/2017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339933"/>
        </w:rPr>
        <w:t>Názov súťaže: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>Mini futbal žiakov a žiačok ZŠ – McDonald's Cup (A kategória – celoštátna postupová súťaž)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color w:val="339933"/>
        </w:rPr>
        <w:t>Vyhlasovateľ:</w:t>
      </w:r>
      <w:r>
        <w:rPr>
          <w:rFonts w:ascii="Arial" w:cs="Arial" w:hAnsi="Arial"/>
          <w:b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</w:rPr>
        <w:t>Ministerstvo školstva, vedy, výskumu a športu SR (MŠVVaŠ SR)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bCs/>
          <w:color w:val="339933"/>
        </w:rPr>
        <w:t>Spoluvyhlasovateľ a organizátor:</w:t>
      </w:r>
      <w:r>
        <w:rPr>
          <w:rFonts w:ascii="Arial" w:cs="Arial" w:hAnsi="Arial"/>
          <w:color w:val="339933"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</w:rPr>
        <w:t>Slovenský futbalový zväz (SFZ)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339933"/>
        </w:rPr>
        <w:t>Generálny partner:</w:t>
      </w:r>
      <w:r>
        <w:rPr>
          <w:rFonts w:ascii="Arial" w:cs="Arial" w:hAnsi="Arial"/>
          <w:color w:val="339933"/>
        </w:rPr>
        <w:t xml:space="preserve"> 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>McDonald's Slovakia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339933"/>
        </w:rPr>
        <w:t>Športoví partneri:</w:t>
      </w:r>
      <w:r>
        <w:rPr>
          <w:rFonts w:ascii="Arial" w:cs="Arial" w:hAnsi="Arial"/>
          <w:color w:val="339933"/>
        </w:rPr>
        <w:t xml:space="preserve"> 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>Adidas Slovakia, s.r.o., Top4Football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339933"/>
        </w:rPr>
        <w:t>Mediálni partneri:</w:t>
      </w:r>
      <w:r>
        <w:rPr>
          <w:rFonts w:ascii="Arial" w:cs="Arial" w:hAnsi="Arial"/>
          <w:color w:val="339933"/>
        </w:rPr>
        <w:t xml:space="preserve"> 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>Čas.sk, MY regionálne noviny, Korzár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339933"/>
        </w:rPr>
        <w:t>Patrón turnaja: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>Futbalový reprezentant SR Marek Hamšík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339933"/>
        </w:rPr>
        <w:t>Zámer projektu:</w:t>
      </w:r>
    </w:p>
    <w:p>
      <w:pPr>
        <w:pStyle w:val="style33"/>
        <w:tabs>
          <w:tab w:leader="none" w:pos="825" w:val="left"/>
        </w:tabs>
        <w:spacing w:after="0" w:before="0"/>
        <w:contextualSpacing w:val="false"/>
        <w:jc w:val="both"/>
      </w:pPr>
      <w:r>
        <w:rPr>
          <w:rFonts w:ascii="Arial" w:cs="Arial" w:hAnsi="Arial"/>
        </w:rPr>
        <w:t>Ponúknuť deťom pozitívny program využitia voľného času a stať sa jednou z foriem vyplnenia voľného času. Cieľom projektu je umožniť maximálnemu počtu žiakov a žiačok 1.stupňa ZŠ - chlapcom a dievčatám - účasť v dlhodobej súťaži, získať ich pre pravidelnú športovú aktivitu.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339933"/>
        </w:rPr>
        <w:t>Štart hráčov a hráčok: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 xml:space="preserve">Školská súťaž v malom futbale 10 členných koedukovaných družstiev chlapcov a dievčat </w:t>
      </w:r>
      <w:r>
        <w:rPr>
          <w:rFonts w:ascii="Arial" w:cs="Arial" w:hAnsi="Arial"/>
          <w:b/>
          <w:color w:val="FF0000"/>
        </w:rPr>
        <w:t>LEN 1. stupňa základných škôl</w:t>
      </w:r>
      <w:r>
        <w:rPr>
          <w:rFonts w:ascii="Arial" w:cs="Arial" w:hAnsi="Arial"/>
          <w:color w:val="FF0000"/>
        </w:rPr>
        <w:t xml:space="preserve"> </w:t>
      </w:r>
      <w:r>
        <w:rPr>
          <w:rFonts w:ascii="Arial" w:cs="Arial" w:hAnsi="Arial"/>
          <w:b/>
          <w:bCs/>
          <w:color w:val="FF0000"/>
        </w:rPr>
        <w:t>(U10 - nar. 1. 9. 2006 a mladší, pričom musia spĺňať  obidve kritériá.)</w:t>
      </w:r>
      <w:r>
        <w:rPr>
          <w:rFonts w:ascii="Arial" w:cs="Arial" w:hAnsi="Arial"/>
        </w:rPr>
        <w:t xml:space="preserve"> 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FF0000"/>
          <w:u w:val="single"/>
        </w:rPr>
        <w:t>Účasť dievčat v družstve je nevyhnutnou podmienkou</w:t>
      </w:r>
      <w:r>
        <w:rPr>
          <w:rFonts w:ascii="Arial" w:cs="Arial" w:hAnsi="Arial"/>
          <w:b/>
          <w:bCs/>
          <w:color w:val="FF0000"/>
        </w:rPr>
        <w:t xml:space="preserve">. Družstvá hrajú v počte hráčov 4 + 1, </w:t>
      </w:r>
      <w:r>
        <w:rPr>
          <w:rFonts w:ascii="Arial" w:cs="Arial" w:hAnsi="Arial"/>
          <w:b/>
          <w:bCs/>
          <w:color w:val="FF0000"/>
          <w:u w:val="single"/>
        </w:rPr>
        <w:t>pričom na hracej ploche počas zápasu MUSÍ byť VŽDY 1 dievča</w:t>
      </w:r>
      <w:r>
        <w:rPr>
          <w:rFonts w:ascii="Arial" w:cs="Arial" w:hAnsi="Arial"/>
          <w:b/>
          <w:bCs/>
          <w:color w:val="FF0000"/>
        </w:rPr>
        <w:t>.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eastAsia="ArialMT" w:hAnsi="Arial"/>
          <w:lang w:eastAsia="ar-SA"/>
        </w:rPr>
        <w:t xml:space="preserve">Žiak/žiačka môže v turnaji nastúpiť len za jednu školu, t. j. musí byť žiakom/žiačkou tej istej školy kontinuálne od 5.9.2016 do 30.6.2017. Výnimka môže byť udelená žiakom/žiačkam jedine v prípade zmeny trvalého bydliska, ktorou sa musí žiak vedieť preukázať. Táto výnimka sa týka zápasov po úroveň regionálneho kola. Po ukončení regionálneho kola turnaja nemôže nastúpiť žiadny žiak/žiačka za inú školu! Škola je povinná upraviť a mať  k dispozícii aktuálny zoznam žiakov na hráčov </w:t>
      </w:r>
      <w:hyperlink r:id="rId3">
        <w:r>
          <w:rPr>
            <w:rStyle w:val="style16"/>
            <w:rStyle w:val="style16"/>
            <w:rFonts w:ascii="Arial" w:cs="Arial" w:eastAsia="Helvetica" w:hAnsi="Arial"/>
          </w:rPr>
          <w:t>www.skolskysport.sk</w:t>
        </w:r>
      </w:hyperlink>
      <w:r>
        <w:rPr>
          <w:rStyle w:val="style16"/>
          <w:rFonts w:ascii="Arial" w:cs="Arial" w:eastAsia="Helvetica" w:hAnsi="Arial"/>
        </w:rPr>
        <w:t>.</w:t>
      </w:r>
      <w:r>
        <w:rPr>
          <w:rStyle w:val="style16"/>
          <w:rFonts w:ascii="Arial" w:cs="Arial" w:eastAsia="Helvetica" w:hAnsi="Arial"/>
          <w:u w:val="none"/>
        </w:rPr>
        <w:t xml:space="preserve"> </w:t>
      </w:r>
      <w:r>
        <w:rPr>
          <w:rStyle w:val="style16"/>
          <w:rFonts w:ascii="Arial" w:cs="Arial" w:eastAsia="Helvetica" w:hAnsi="Arial"/>
          <w:color w:val="00000A"/>
          <w:u w:val="none"/>
        </w:rPr>
        <w:t>Ak žiak zmení trvalé bydlisko a teda školu, škola je povinná odstrániť ho zo svojich súpisiek.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eastAsia="Helvetica" w:hAnsi="Arial"/>
        </w:rPr>
        <w:t>SFZ a McDonald's Slovakia môžu použiť osobné údaje účastníkov, fotografie alebo videozáznamy za účelom propagácie súťaže.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339933"/>
        </w:rPr>
        <w:t>Prihlasovanie do súťaže: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eastAsia="Helvetica" w:hAnsi="Arial"/>
        </w:rPr>
        <w:t xml:space="preserve">Prihlasovanie škôl do súťaže McDonald's Cup je možné iba prostredníctvom portálu </w:t>
      </w:r>
      <w:hyperlink r:id="rId4">
        <w:r>
          <w:rPr>
            <w:rStyle w:val="style16"/>
            <w:rStyle w:val="style16"/>
            <w:rFonts w:ascii="Arial" w:cs="Arial" w:eastAsia="Helvetica" w:hAnsi="Arial"/>
          </w:rPr>
          <w:t>www.mcdonaldscup.sk</w:t>
        </w:r>
      </w:hyperlink>
      <w:r>
        <w:rPr>
          <w:rFonts w:ascii="Arial" w:cs="Arial" w:eastAsia="Helvetica" w:hAnsi="Arial"/>
        </w:rPr>
        <w:t xml:space="preserve"> a </w:t>
      </w:r>
      <w:hyperlink r:id="rId5">
        <w:r>
          <w:rPr>
            <w:rStyle w:val="style16"/>
            <w:rStyle w:val="style16"/>
            <w:rFonts w:ascii="Arial" w:cs="Arial" w:eastAsia="Helvetica" w:hAnsi="Arial"/>
          </w:rPr>
          <w:t>www.skolskysport.sk</w:t>
        </w:r>
      </w:hyperlink>
      <w:r>
        <w:rPr>
          <w:rFonts w:ascii="Arial" w:cs="Arial" w:eastAsia="Helvetica" w:hAnsi="Arial"/>
        </w:rPr>
        <w:t xml:space="preserve"> cez prihlasovacie údaje školy – prihlasovacie meno a heslo (Pedagogicko – organizačné pokyny na školský rok 2016/2017, bod 1.5.14, odsek 6).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eastAsia="Helvetica" w:hAnsi="Arial"/>
        </w:rPr>
        <w:t xml:space="preserve">Termín na prihlásenie do súťaže je pre školy stanovený </w:t>
      </w:r>
      <w:r>
        <w:rPr>
          <w:rFonts w:ascii="Arial" w:cs="Arial" w:eastAsia="Helvetica" w:hAnsi="Arial"/>
          <w:bCs/>
        </w:rPr>
        <w:t>do 31. októbra 2016.</w:t>
      </w:r>
      <w:r>
        <w:rPr>
          <w:rFonts w:ascii="Arial" w:cs="Arial" w:eastAsia="Helvetica" w:hAnsi="Arial"/>
          <w:b/>
          <w:bCs/>
        </w:rPr>
        <w:t xml:space="preserve"> 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b/>
          <w:bCs/>
          <w:color w:val="339933"/>
        </w:rPr>
        <w:t>Harmonogram priebehu súťaže:</w:t>
      </w:r>
    </w:p>
    <w:p>
      <w:pPr>
        <w:pStyle w:val="style0"/>
        <w:numPr>
          <w:ilvl w:val="0"/>
          <w:numId w:val="2"/>
        </w:numPr>
        <w:tabs>
          <w:tab w:leader="none" w:pos="825" w:val="left"/>
        </w:tabs>
        <w:jc w:val="both"/>
      </w:pPr>
      <w:r>
        <w:rPr>
          <w:rFonts w:ascii="Arial" w:cs="Arial" w:hAnsi="Arial"/>
        </w:rPr>
        <w:t>do 31. 10. 2016 – prihlasovanie škôl do turnaja</w:t>
      </w:r>
    </w:p>
    <w:p>
      <w:pPr>
        <w:pStyle w:val="style0"/>
        <w:numPr>
          <w:ilvl w:val="0"/>
          <w:numId w:val="2"/>
        </w:numPr>
        <w:tabs>
          <w:tab w:leader="none" w:pos="825" w:val="left"/>
        </w:tabs>
        <w:jc w:val="both"/>
      </w:pPr>
      <w:r>
        <w:rPr>
          <w:rFonts w:ascii="Arial" w:cs="Arial" w:hAnsi="Arial"/>
        </w:rPr>
        <w:t>do 24. 3. 2017 – predkolá / školské a kvalifikačné kolá / regionálne kolá</w:t>
      </w:r>
    </w:p>
    <w:p>
      <w:pPr>
        <w:pStyle w:val="style0"/>
        <w:numPr>
          <w:ilvl w:val="0"/>
          <w:numId w:val="2"/>
        </w:numPr>
        <w:tabs>
          <w:tab w:leader="none" w:pos="825" w:val="left"/>
        </w:tabs>
        <w:jc w:val="both"/>
      </w:pPr>
      <w:r>
        <w:rPr>
          <w:rFonts w:ascii="Arial" w:cs="Arial" w:hAnsi="Arial"/>
        </w:rPr>
        <w:t>do 5. 5. 2017 – okresné kolá</w:t>
      </w:r>
    </w:p>
    <w:p>
      <w:pPr>
        <w:pStyle w:val="style0"/>
        <w:numPr>
          <w:ilvl w:val="0"/>
          <w:numId w:val="2"/>
        </w:numPr>
        <w:tabs>
          <w:tab w:leader="none" w:pos="825" w:val="left"/>
        </w:tabs>
        <w:jc w:val="both"/>
      </w:pPr>
      <w:r>
        <w:rPr>
          <w:rFonts w:ascii="Arial" w:cs="Arial" w:hAnsi="Arial"/>
        </w:rPr>
        <w:t>do 26. 5. 2017 – 8 krajských kôl</w:t>
      </w:r>
    </w:p>
    <w:p>
      <w:pPr>
        <w:pStyle w:val="style0"/>
        <w:numPr>
          <w:ilvl w:val="0"/>
          <w:numId w:val="2"/>
        </w:numPr>
        <w:tabs>
          <w:tab w:leader="none" w:pos="825" w:val="left"/>
        </w:tabs>
        <w:jc w:val="both"/>
      </w:pPr>
      <w:r>
        <w:rPr>
          <w:rFonts w:ascii="Arial" w:cs="Arial" w:hAnsi="Arial"/>
        </w:rPr>
        <w:t xml:space="preserve">12. 6. - 13. 6. 2017 – Finále – Majstrovstvá Slovenska </w:t>
      </w:r>
    </w:p>
    <w:p>
      <w:pPr>
        <w:pStyle w:val="style0"/>
        <w:tabs>
          <w:tab w:leader="none" w:pos="5865" w:val="left"/>
        </w:tabs>
        <w:ind w:hanging="0" w:left="720" w:right="0"/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eastAsia="Helvetica" w:hAnsi="Arial"/>
          <w:b/>
          <w:bCs/>
          <w:color w:val="339933"/>
        </w:rPr>
        <w:t>Organizácia súťaže: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eastAsia="Helvetica" w:hAnsi="Arial"/>
        </w:rPr>
        <w:t>Do predkola alebo do okresného kola je možné prihlásiť viac družstiev z jednej školy pokiaľ to kapacitné podmienky dovoľujú a organizátor súhlasí. Žiaci môžu byť len na súpiske jedného školského družstva a môžu nastúpiť v danom kole len za jedno školské družstvo.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color w:val="339933"/>
          <w:u w:val="single"/>
        </w:rPr>
        <w:t>Predkolá / školské a kvalifikačné kolá: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 xml:space="preserve">Predkolá sa hrajú priebežne od novembra 2016 do marca 2017. Víťazné školy postupujú z predkola do okresného kola. 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 xml:space="preserve">Snahou MŠVVaŠ SR, SFZ a McDonald´s je zapojiť do súťaže čo najviac tried (žiakov) a odohrať čo najviac zápasov na každej škole. </w:t>
      </w:r>
      <w:r>
        <w:rPr>
          <w:rFonts w:ascii="Arial" w:cs="Arial" w:eastAsia="ArialMT" w:hAnsi="Arial"/>
        </w:rPr>
        <w:t xml:space="preserve">Školské kolá súťaží organizačne i finančne zabezpečuje príslušná škola a riadi školská odborná komisia, ktorú vymenuje riaditeľ školy. </w:t>
      </w:r>
      <w:r>
        <w:rPr>
          <w:rFonts w:ascii="Arial" w:cs="Arial" w:hAnsi="Arial"/>
        </w:rPr>
        <w:t>Hrací systém si zvolí sama škola podľa svojich podmienok, nápomocné sú k tomu aj tieto propozície a hrací systém McDonald´s Cupu, uvedené nižšie.</w:t>
      </w:r>
    </w:p>
    <w:p>
      <w:pPr>
        <w:pStyle w:val="style0"/>
        <w:tabs>
          <w:tab w:leader="none" w:pos="825" w:val="left"/>
        </w:tabs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color w:val="339933"/>
          <w:u w:val="single"/>
        </w:rPr>
        <w:t>Okresné kolá a regionálne kolá: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>Okresné a regionálne kolá sa dohrajú najneskôr do 5. 5. 2017. Systém určuje usporiadateľ poverený OÚ-OŠ alebo SFZ podľa podmienok okresu formou turnaja za účasti prihlásených družstiev, resp. postupujúcich škôl z predkôl. Celkový počet okresných kôl je obmedzený podľa počtu okresov.</w:t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</w:rPr>
        <w:t>Odporúčame, aby medzi okresnými kolami a krajskými kolami bol týždňový odstup z dôvodu ich organizácie.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Spoločnosť McDonald's Slovakia spol. s r.o. poskytuje usporiadateľom okresných kôl Príspevok McDonald´s, ktorý predstavuje doplňujúcu finančnú podporu k dotačnému systému MŠVVaŠ SR. Bližšie informácie nájdete v Metodickom pokyne k vyplácaniu Príspevku McDonald´s organizátorom okresných a krajských kôl k 19. ročníku McDonald´s Cup 2016/2017. Na stránke </w:t>
      </w:r>
      <w:hyperlink r:id="rId6">
        <w:r>
          <w:rPr>
            <w:rStyle w:val="style16"/>
            <w:rStyle w:val="style16"/>
            <w:rFonts w:ascii="Arial" w:cs="Arial" w:hAnsi="Arial"/>
          </w:rPr>
          <w:t>www.mcdonaldscup.sk</w:t>
        </w:r>
      </w:hyperlink>
      <w:r>
        <w:rPr>
          <w:rFonts w:ascii="Arial" w:cs="Arial" w:hAnsi="Arial"/>
        </w:rPr>
        <w:t xml:space="preserve"> nájdete bianco propozície okresného kola McDonald´s Cup, ktoré je nutné používať, aby bolo možné vyplatiť Príspevok McDonald´s.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825" w:val="left"/>
        </w:tabs>
        <w:jc w:val="both"/>
      </w:pPr>
      <w:r>
        <w:rPr>
          <w:rFonts w:ascii="Arial" w:cs="Arial" w:hAnsi="Arial"/>
          <w:color w:val="339933"/>
          <w:u w:val="single"/>
        </w:rPr>
        <w:t>Krajské kolá: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Krajské kolá sa dohrajú sa do 26. mája 2017. Na turnajoch krajských kôl hrajú postupujúce družstvá z okresných kôl. Na Majstrovstvá SR McDonald´s Cupu postupuje len víťaz krajského kola! Termíny a miesta konania krajských kôl  stanoví Slovenský organizačný štáb na svojom 1. mítingu na jeseň 2016 a následne budú oznámené OÚ-OŠ a zároveň zverejnené na webových stránkach </w:t>
      </w:r>
      <w:hyperlink r:id="rId7">
        <w:r>
          <w:rPr>
            <w:rStyle w:val="style16"/>
            <w:rStyle w:val="style16"/>
            <w:rFonts w:ascii="Arial" w:cs="Arial" w:eastAsia="Helvetica" w:hAnsi="Arial"/>
          </w:rPr>
          <w:t>www.mcdonaldscup.sk</w:t>
        </w:r>
      </w:hyperlink>
      <w:r>
        <w:rPr>
          <w:rFonts w:ascii="Arial" w:cs="Arial" w:eastAsia="Helvetica" w:hAnsi="Arial"/>
        </w:rPr>
        <w:t xml:space="preserve"> a </w:t>
      </w:r>
      <w:hyperlink r:id="rId8">
        <w:r>
          <w:rPr>
            <w:rStyle w:val="style16"/>
            <w:rStyle w:val="style16"/>
            <w:rFonts w:ascii="Arial" w:cs="Arial" w:eastAsia="Helvetica" w:hAnsi="Arial"/>
          </w:rPr>
          <w:t>www.skolskysport.sk</w:t>
        </w:r>
      </w:hyperlink>
      <w:r>
        <w:rPr>
          <w:rFonts w:ascii="Arial" w:cs="Arial" w:hAnsi="Arial"/>
        </w:rPr>
        <w:t xml:space="preserve">.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Spoločnosť McDonald's Slovakia spol. s r.o. poskytuje usporiadateľom krajských kôl Príspevok McDonald´s, ktorý predstavuje doplňujúcu finančnú podporu k dotačnému systému MŠVVaŠ SR. Bližšie informácie nájdete v Metodickom pokyne k vyplácaniu Príspevku McDonald´s organizátorom okresných a krajských kôl k 19. ročníku McDonald´s Cup 2016/2017. Na stránke </w:t>
      </w:r>
      <w:hyperlink r:id="rId9">
        <w:r>
          <w:rPr>
            <w:rStyle w:val="style16"/>
            <w:rStyle w:val="style16"/>
            <w:rFonts w:ascii="Arial" w:cs="Arial" w:hAnsi="Arial"/>
          </w:rPr>
          <w:t>www.mcdonaldscup.sk</w:t>
        </w:r>
      </w:hyperlink>
      <w:r>
        <w:rPr>
          <w:rFonts w:ascii="Arial" w:cs="Arial" w:hAnsi="Arial"/>
        </w:rPr>
        <w:t xml:space="preserve"> nájdete bianco propozície krajského kola McDonald´s Cup, ktoré je nutné používať, aby bolo možné vyplatiť Príspevok McDonald´s.</w:t>
      </w:r>
    </w:p>
    <w:p>
      <w:pPr>
        <w:pStyle w:val="style0"/>
        <w:jc w:val="both"/>
      </w:pPr>
      <w:r>
        <w:rPr>
          <w:rFonts w:ascii="Arial" w:cs="Arial" w:hAnsi="Arial"/>
        </w:rPr>
        <w:t>Na krajských kolách sa zúčastňujú krajskí Grassroots koordinátori Slovenského futbalového zväzu ako zástupcovia organizátora turnaja s kompetenciami rozhodovať pri dôležitých, najmä sporných otázkach, ktoré vzniknú počas turnaja.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hAnsi="Arial"/>
          <w:color w:val="339933"/>
          <w:u w:val="single"/>
        </w:rPr>
        <w:t>Finále - Majstrovstvá Slovenska:</w:t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eastAsia="ArialMT" w:hAnsi="Arial"/>
        </w:rPr>
        <w:t>Slovenské finále súťaže zabezpečuje Slovenský futbalový zväz a generálny partner McDonald's Slovakia.</w:t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eastAsia="ArialMT" w:hAnsi="Arial"/>
        </w:rPr>
        <w:t xml:space="preserve">Slovenské finále sa bude hrať na vybranom futbalovom štadióne v termíne </w:t>
      </w:r>
      <w:r>
        <w:rPr>
          <w:rFonts w:ascii="Arial" w:cs="Arial" w:eastAsia="ArialMT" w:hAnsi="Arial"/>
          <w:b/>
          <w:bCs/>
        </w:rPr>
        <w:t>12. - 13. júna 2017</w:t>
      </w:r>
      <w:r>
        <w:rPr>
          <w:rFonts w:ascii="Arial" w:cs="Arial" w:eastAsia="ArialMT" w:hAnsi="Arial"/>
        </w:rPr>
        <w:t xml:space="preserve"> za účasti 8 družstiev – víťazov krajských kôl.</w:t>
      </w:r>
      <w:r>
        <w:rPr>
          <w:rFonts w:ascii="Arial" w:cs="Arial" w:eastAsia="ArialMT" w:hAnsi="Arial"/>
          <w:b/>
        </w:rPr>
        <w:t xml:space="preserve"> </w:t>
      </w:r>
      <w:r>
        <w:rPr>
          <w:rFonts w:ascii="Arial" w:cs="Arial" w:hAnsi="Arial"/>
        </w:rPr>
        <w:t>Družstvá budú vyžrebované do dvoch skupín a bude sa hrať systémom každý s každým. Družstvá, podľa umiestnenia v skupinách, zohrajú zápasy o konečné umiestnenie.</w:t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hAnsi="Arial"/>
          <w:b/>
          <w:bCs/>
          <w:color w:val="339933"/>
        </w:rPr>
        <w:t>Organizačné pokyny:</w:t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eastAsia="ArialMT" w:hAnsi="Arial"/>
        </w:rPr>
        <w:t xml:space="preserve">Turnaje na regionálnej úrovni – predkolá, regionálne, okresné a krajské kolá – organizačne zabezpečuje príslušný OÚ-OŠ. Po odbornej stránke riadia športové súťaže v krajoch odborné komisie. </w:t>
      </w:r>
    </w:p>
    <w:p>
      <w:pPr>
        <w:pStyle w:val="style0"/>
        <w:jc w:val="both"/>
      </w:pPr>
      <w:r>
        <w:rPr>
          <w:rFonts w:ascii="Arial" w:cs="Arial" w:hAnsi="Arial"/>
        </w:rPr>
        <w:t>Organizátor turnaja je zodpovedný za zabezpečenie zverejňovania včasných informácií o organizovaní jednotlivých kôl futbalových súťaží prostredníctvom portálu školského športu nasledovne: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Arial" w:cs="Arial" w:hAnsi="Arial"/>
        </w:rPr>
        <w:t>Všetci usporiadatelia sú povinní zverejniť informácie o kole najneskôr 7 dní pred uskutočnením kola.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Arial" w:cs="Arial" w:hAnsi="Arial"/>
        </w:rPr>
        <w:t>Všetci usporiadatelia sú povinní výsledky doplniť najneskôr do 1 dňa po dni od uskutočnenia kola.</w:t>
      </w:r>
    </w:p>
    <w:p>
      <w:pPr>
        <w:pStyle w:val="style0"/>
        <w:jc w:val="both"/>
      </w:pPr>
      <w:r>
        <w:rPr>
          <w:rFonts w:ascii="Arial" w:cs="Arial" w:eastAsia="ArialMT" w:hAnsi="Arial"/>
        </w:rPr>
        <w:t>Usporiadateľ príslušného kola turnaja je povinný uskutočniť vyžrebovanie turnaja v deň odohrania turnaja, tzn. na mieste pred odohraním turnaja za účasti zástupcov všetkých zúčastnených družstiev.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hAnsi="Arial"/>
          <w:b/>
          <w:bCs/>
          <w:color w:val="339933"/>
        </w:rPr>
        <w:t>Propozície na jednotlivé kolá (predkolo, regionálne, okresné , krajské kolo):</w:t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hAnsi="Arial"/>
        </w:rPr>
        <w:t xml:space="preserve">Spracováva príslušný usporiadateľ kola poverený OÚ-OŠ, kde konkretizuje miesto, čas, počet účastníkov a hrací systém aspoň 7 dní pred konaním kola. Usporiadateľ kola je zároveň povinný dodržať pravidlá súťaže vydané pre príslušný školský rok. Predlohy propozícií pre predkolá, okresné a krajské kolá sú umiestnené na stiahnutie na portáli </w:t>
      </w:r>
      <w:hyperlink r:id="rId10">
        <w:r>
          <w:rPr>
            <w:rStyle w:val="style16"/>
            <w:rStyle w:val="style16"/>
            <w:rFonts w:ascii="Arial" w:cs="Arial" w:hAnsi="Arial"/>
          </w:rPr>
          <w:t>www.skolskysport.sk</w:t>
        </w:r>
      </w:hyperlink>
      <w:r>
        <w:rPr>
          <w:rFonts w:ascii="Arial" w:cs="Arial" w:hAnsi="Arial"/>
        </w:rPr>
        <w:t xml:space="preserve">, v sekcii Dokumenty k súťaži Minifutbal žiakov a žiačok ZŠ. Organizátor si tieto propozície stiahne, vyplní potrebné údaje a umiestni na portál k príslušnému vytvorenému kolu najneskôr 7 dní pred jeho uskutočnením – spolu so všetkými kontaktnými údajmi. </w:t>
      </w:r>
      <w:r>
        <w:rPr>
          <w:rFonts w:ascii="Arial" w:cs="Arial" w:hAnsi="Arial"/>
          <w:color w:val="00B050"/>
        </w:rPr>
        <w:t xml:space="preserve">Na stránke </w:t>
      </w:r>
      <w:hyperlink r:id="rId11">
        <w:r>
          <w:rPr>
            <w:rStyle w:val="style16"/>
            <w:rStyle w:val="style16"/>
            <w:rFonts w:ascii="Arial" w:cs="Arial" w:hAnsi="Arial"/>
          </w:rPr>
          <w:t>www.mcdonaldscup.sk</w:t>
        </w:r>
      </w:hyperlink>
      <w:r>
        <w:rPr>
          <w:rFonts w:ascii="Arial" w:cs="Arial" w:hAnsi="Arial"/>
          <w:color w:val="00B050"/>
        </w:rPr>
        <w:t xml:space="preserve"> nájdete bianco propozície okresných a krajských kôl McDonald´s Cup, ktoré je nutné používať, aby bolo možné vyplatiť Príspevok McDonald´s.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Príslušný usporiadateľ okresných a krajských kôl následne vyplnené propozície odošle na </w:t>
      </w:r>
      <w:hyperlink r:id="rId12">
        <w:r>
          <w:rPr>
            <w:rStyle w:val="style16"/>
            <w:rStyle w:val="style16"/>
            <w:rFonts w:ascii="Arial" w:cs="Arial" w:hAnsi="Arial"/>
          </w:rPr>
          <w:t>kniezova.lucia@1stclass.sk</w:t>
        </w:r>
      </w:hyperlink>
      <w:r>
        <w:rPr>
          <w:rFonts w:ascii="Arial" w:cs="Arial" w:hAnsi="Arial"/>
        </w:rPr>
        <w:t xml:space="preserve">. Okresné a krajské propozície budú takto prístupné aj na </w:t>
      </w:r>
      <w:hyperlink r:id="rId13">
        <w:r>
          <w:rPr>
            <w:rStyle w:val="style16"/>
            <w:rStyle w:val="style16"/>
            <w:rFonts w:ascii="Arial" w:cs="Arial" w:hAnsi="Arial"/>
          </w:rPr>
          <w:t>www.mcdonaldscup.sk</w:t>
        </w:r>
      </w:hyperlink>
      <w:r>
        <w:rPr>
          <w:rFonts w:ascii="Arial" w:cs="Arial" w:hAnsi="Arial"/>
        </w:rPr>
        <w:t xml:space="preserve">. </w:t>
      </w:r>
    </w:p>
    <w:p>
      <w:pPr>
        <w:pStyle w:val="style0"/>
        <w:jc w:val="both"/>
      </w:pPr>
      <w:r>
        <w:rPr>
          <w:rFonts w:ascii="Arial" w:cs="Arial" w:hAnsi="Arial"/>
        </w:rPr>
        <w:t>Usporiadateľ akcie je zároveň povinný dodržať pravidlá súťaže vydané pre príslušný školský rok. Prípadné protesty družstiev rieši vždy nadriadený štáb turnaja, ak v propozíciách nie je uvedená súťažná komisia (organizačný výbor), ktorá by protest vyriešila na mieste.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color w:val="339933"/>
        </w:rPr>
        <w:t>Náklady na organizáciu turnajov:</w:t>
      </w:r>
      <w:r>
        <w:rPr>
          <w:rFonts w:ascii="Arial" w:cs="Arial" w:hAnsi="Arial"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</w:rPr>
        <w:t>V turnajoch na regionálnej úrovni zabezpečujú príslušní usporiadatelia poverení OÚ-OŠ podľa pokynov a platných predpisov (</w:t>
      </w:r>
      <w:r>
        <w:rPr>
          <w:rFonts w:ascii="Arial" w:cs="Arial" w:eastAsia="ArialMT" w:hAnsi="Arial"/>
          <w:color w:val="1A1A1A"/>
        </w:rPr>
        <w:t>Usmernenie k financovaniu športových súťaží detí a žiakov škôl, organizovaných podľa smernice č. 44/2011 o organizovaní, riadení a finančnom zabezpečení športových súťaží detí a žiakov škôl</w:t>
      </w:r>
      <w:r>
        <w:rPr>
          <w:rFonts w:ascii="Arial" w:cs="Arial" w:hAnsi="Arial"/>
        </w:rPr>
        <w:t>).</w:t>
      </w:r>
    </w:p>
    <w:p>
      <w:pPr>
        <w:pStyle w:val="style0"/>
        <w:jc w:val="both"/>
      </w:pPr>
      <w:r>
        <w:rPr>
          <w:rFonts w:ascii="Arial" w:cs="Arial" w:hAnsi="Arial"/>
        </w:rPr>
        <w:t>Spoločnosť McDonald's Slovakia spol. s r.o. poskytuje usporiadateľom okresných a krajských kôl Príspevok McDonald´s, ktorý predstavuje doplňujúcu finančnú podporu k dotačnému systému MŠVVaŠ SR.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color w:val="339933"/>
        </w:rPr>
        <w:t>Poistenie a bezpečnosť:</w:t>
      </w:r>
      <w:r>
        <w:rPr>
          <w:rFonts w:ascii="Arial" w:cs="Arial" w:hAnsi="Arial"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</w:rPr>
        <w:t>Zdravotnú službu zabezpečuje usporiadateľ akcie. Zúčastnení žiaci štartujú na vlastné zdravotné poistenie.</w:t>
      </w:r>
    </w:p>
    <w:p>
      <w:pPr>
        <w:pStyle w:val="style0"/>
        <w:jc w:val="both"/>
      </w:pPr>
      <w:r>
        <w:rPr>
          <w:rFonts w:ascii="Arial" w:cs="Arial" w:hAnsi="Arial"/>
        </w:rPr>
        <w:t>Pedagogický dozor je zodpovedný za svojich žiakov počas celého podujatia. Za stratu osobných vecí usporiadateľ nezodpovedá.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426" w:val="left"/>
        </w:tabs>
        <w:ind w:hanging="0" w:left="0" w:right="-1"/>
        <w:jc w:val="both"/>
      </w:pPr>
      <w:r>
        <w:rPr>
          <w:rFonts w:ascii="Arial" w:cs="Arial" w:hAnsi="Arial"/>
          <w:b/>
          <w:color w:val="339933"/>
        </w:rPr>
        <w:t>Technická porada:</w:t>
      </w:r>
      <w:r>
        <w:rPr>
          <w:rFonts w:ascii="Arial" w:cs="Arial" w:hAnsi="Arial"/>
          <w:b/>
        </w:rPr>
        <w:t xml:space="preserve"> </w:t>
      </w:r>
    </w:p>
    <w:p>
      <w:pPr>
        <w:pStyle w:val="style0"/>
        <w:tabs>
          <w:tab w:leader="none" w:pos="426" w:val="left"/>
        </w:tabs>
        <w:ind w:hanging="0" w:left="0" w:right="-1"/>
        <w:jc w:val="both"/>
      </w:pPr>
      <w:r>
        <w:rPr>
          <w:rFonts w:ascii="Arial" w:cs="Arial" w:hAnsi="Arial"/>
        </w:rPr>
        <w:t xml:space="preserve">Uskutoční sa v deň príchodu pred začiatkom kola/turnaja. Súpisky družstiev vkladajú účastníci na portál </w:t>
      </w:r>
      <w:hyperlink r:id="rId14">
        <w:r>
          <w:rPr>
            <w:rStyle w:val="style16"/>
            <w:rStyle w:val="style16"/>
            <w:rFonts w:ascii="Arial" w:cs="Arial" w:hAnsi="Arial"/>
          </w:rPr>
          <w:t>www.skolskysport.sk</w:t>
        </w:r>
      </w:hyperlink>
      <w:r>
        <w:rPr>
          <w:rFonts w:ascii="Arial" w:cs="Arial" w:hAnsi="Arial"/>
        </w:rPr>
        <w:t xml:space="preserve"> najneskôr 24 hodín pred začiatkom turnaja. Na technickej porade odovzdajú originál podpísaný a opečiatkovaný štatutárnym zástupcom školy/riaditeľom školy.</w:t>
      </w:r>
    </w:p>
    <w:p>
      <w:pPr>
        <w:pStyle w:val="style0"/>
        <w:tabs>
          <w:tab w:leader="none" w:pos="42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426" w:val="left"/>
        </w:tabs>
        <w:ind w:hanging="0" w:left="0" w:right="-1"/>
        <w:jc w:val="both"/>
      </w:pPr>
      <w:r>
        <w:rPr>
          <w:rFonts w:ascii="Arial" w:cs="Arial" w:hAnsi="Arial"/>
          <w:b/>
          <w:color w:val="339933"/>
        </w:rPr>
        <w:t>Riadenie turnaja:</w:t>
      </w:r>
      <w:r>
        <w:rPr>
          <w:rFonts w:ascii="Arial" w:cs="Arial" w:hAnsi="Arial"/>
          <w:b/>
        </w:rPr>
        <w:t xml:space="preserve"> </w:t>
      </w:r>
    </w:p>
    <w:p>
      <w:pPr>
        <w:pStyle w:val="style0"/>
        <w:tabs>
          <w:tab w:leader="none" w:pos="426" w:val="left"/>
        </w:tabs>
        <w:ind w:hanging="0" w:left="0" w:right="-1"/>
        <w:jc w:val="both"/>
      </w:pPr>
      <w:r>
        <w:rPr>
          <w:rFonts w:ascii="Arial" w:cs="Arial" w:hAnsi="Arial"/>
        </w:rPr>
        <w:t>Organizačný výbor turnaja. Nepredpokladaná okolnosť, ktorá sa vyskytne a nie je upravená v propozíciách, ako aj všetky námietky a závažné disciplinárne prípady budú prerokované Organizačným výborom za účasti zainteresovaných strán. Organizačný výbor rozhodne s konečnou platnosťou v zmysle pravidiel tohto turnaja a v duchu fair-play.</w:t>
      </w:r>
    </w:p>
    <w:p>
      <w:pPr>
        <w:pStyle w:val="style0"/>
        <w:tabs>
          <w:tab w:leader="none" w:pos="42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426" w:val="left"/>
        </w:tabs>
        <w:ind w:hanging="0" w:left="0" w:right="-1"/>
        <w:jc w:val="both"/>
      </w:pPr>
      <w:r>
        <w:rPr>
          <w:rFonts w:ascii="Arial" w:cs="Arial" w:hAnsi="Arial"/>
          <w:b/>
          <w:bCs/>
          <w:color w:val="339933"/>
        </w:rPr>
        <w:t>Hrací systém:</w:t>
      </w:r>
    </w:p>
    <w:p>
      <w:pPr>
        <w:pStyle w:val="style0"/>
        <w:suppressAutoHyphens w:val="false"/>
        <w:jc w:val="both"/>
      </w:pPr>
      <w:r>
        <w:rPr>
          <w:rFonts w:ascii="Arial" w:cs="Arial" w:hAnsi="Arial"/>
          <w:lang w:eastAsia="ar-SA"/>
        </w:rPr>
        <w:t xml:space="preserve">Všetky zápasy turnaja sa hrajú podľa upravených Pravidiel malého futbalu a Propozícií so zreteľom na zvláštnosti tejto školskej športovej súťaže. Za víťazstvo získa družstvo 3 body, za remízu 1 bod a za prehru 0 bodov. O konečnom poradí v skupine rozhoduje počet získaných bodov zo všetkých odohraných zápasov. Víťazi postupujú do ďalšieho kola turnaja. </w:t>
      </w:r>
    </w:p>
    <w:p>
      <w:pPr>
        <w:pStyle w:val="style0"/>
        <w:suppressAutoHyphens w:val="false"/>
        <w:jc w:val="both"/>
      </w:pPr>
      <w:r>
        <w:rPr>
          <w:rFonts w:ascii="Arial" w:cs="Arial" w:hAnsi="Arial"/>
          <w:bCs/>
          <w:lang w:eastAsia="ar-SA"/>
        </w:rPr>
        <w:t xml:space="preserve">Pri rovnakom počte bodov medzi účastníkmi (pri zhode dvoch a viac družstiev) o poradí v turnajoch rozhoduje: </w:t>
      </w:r>
    </w:p>
    <w:p>
      <w:pPr>
        <w:pStyle w:val="style0"/>
        <w:numPr>
          <w:ilvl w:val="0"/>
          <w:numId w:val="1"/>
        </w:numPr>
        <w:suppressAutoHyphens w:val="false"/>
        <w:jc w:val="both"/>
      </w:pPr>
      <w:r>
        <w:rPr>
          <w:rFonts w:ascii="Arial" w:cs="Arial" w:hAnsi="Arial"/>
          <w:lang w:eastAsia="ar-SA"/>
        </w:rPr>
        <w:t>väčší počet získaných bodov zo vzájomných zápasov</w:t>
      </w:r>
    </w:p>
    <w:p>
      <w:pPr>
        <w:pStyle w:val="style0"/>
        <w:numPr>
          <w:ilvl w:val="0"/>
          <w:numId w:val="1"/>
        </w:numPr>
        <w:suppressAutoHyphens w:val="false"/>
        <w:jc w:val="both"/>
      </w:pPr>
      <w:r>
        <w:rPr>
          <w:rFonts w:ascii="Arial" w:cs="Arial" w:hAnsi="Arial"/>
          <w:lang w:eastAsia="ar-SA"/>
        </w:rPr>
        <w:t>vyšší gólový rozdiel zo vzájomných zápasov</w:t>
      </w:r>
    </w:p>
    <w:p>
      <w:pPr>
        <w:pStyle w:val="style0"/>
        <w:numPr>
          <w:ilvl w:val="0"/>
          <w:numId w:val="1"/>
        </w:numPr>
        <w:suppressAutoHyphens w:val="false"/>
        <w:jc w:val="both"/>
      </w:pPr>
      <w:r>
        <w:rPr>
          <w:rFonts w:ascii="Arial" w:cs="Arial" w:hAnsi="Arial"/>
          <w:lang w:eastAsia="ar-SA"/>
        </w:rPr>
        <w:t>väčší počet strelených gólov zo vzájomných zápasov</w:t>
      </w:r>
    </w:p>
    <w:p>
      <w:pPr>
        <w:pStyle w:val="style0"/>
        <w:numPr>
          <w:ilvl w:val="0"/>
          <w:numId w:val="1"/>
        </w:numPr>
        <w:suppressAutoHyphens w:val="false"/>
        <w:jc w:val="both"/>
      </w:pPr>
      <w:r>
        <w:rPr>
          <w:rFonts w:ascii="Arial" w:cs="Arial" w:hAnsi="Arial"/>
          <w:lang w:eastAsia="ar-SA"/>
        </w:rPr>
        <w:t>ak sa na základe hore uvedených kritérií a) až c) nerozhodne o poradí, kritériá e) až g) sa uplatnia:</w:t>
      </w:r>
    </w:p>
    <w:p>
      <w:pPr>
        <w:pStyle w:val="style0"/>
        <w:numPr>
          <w:ilvl w:val="0"/>
          <w:numId w:val="1"/>
        </w:numPr>
        <w:suppressAutoHyphens w:val="false"/>
        <w:jc w:val="both"/>
      </w:pPr>
      <w:r>
        <w:rPr>
          <w:rFonts w:ascii="Arial" w:cs="Arial" w:hAnsi="Arial"/>
          <w:lang w:eastAsia="ar-SA"/>
        </w:rPr>
        <w:t xml:space="preserve">gólový rozdiel zo všetkých zápasov </w:t>
      </w:r>
    </w:p>
    <w:p>
      <w:pPr>
        <w:pStyle w:val="style0"/>
        <w:numPr>
          <w:ilvl w:val="0"/>
          <w:numId w:val="1"/>
        </w:numPr>
        <w:suppressAutoHyphens w:val="false"/>
        <w:jc w:val="both"/>
      </w:pPr>
      <w:r>
        <w:rPr>
          <w:rFonts w:ascii="Arial" w:cs="Arial" w:hAnsi="Arial"/>
          <w:lang w:eastAsia="ar-SA"/>
        </w:rPr>
        <w:t>väčší počet strelených gólov zo všetkých zápasov</w:t>
      </w:r>
    </w:p>
    <w:p>
      <w:pPr>
        <w:pStyle w:val="style0"/>
        <w:numPr>
          <w:ilvl w:val="0"/>
          <w:numId w:val="1"/>
        </w:numPr>
        <w:suppressAutoHyphens w:val="false"/>
        <w:jc w:val="both"/>
      </w:pPr>
      <w:r>
        <w:rPr>
          <w:rFonts w:ascii="Arial" w:cs="Arial" w:hAnsi="Arial"/>
          <w:lang w:eastAsia="ar-SA"/>
        </w:rPr>
        <w:t>kopy zo značky PK v počte 5 kopov alebo až do rozhodnutia</w:t>
      </w:r>
    </w:p>
    <w:p>
      <w:pPr>
        <w:pStyle w:val="style0"/>
        <w:suppressAutoHyphens w:val="false"/>
        <w:jc w:val="both"/>
      </w:pPr>
      <w:r>
        <w:rPr>
          <w:rFonts w:ascii="Arial" w:cs="Arial" w:hAnsi="Arial"/>
          <w:lang w:eastAsia="ar-SA"/>
        </w:rPr>
        <w:t>Kopy sa vykonávajú nasledovným spôsobom:</w:t>
      </w:r>
    </w:p>
    <w:p>
      <w:pPr>
        <w:pStyle w:val="style0"/>
        <w:suppressAutoHyphens w:val="false"/>
        <w:jc w:val="both"/>
      </w:pPr>
      <w:r>
        <w:rPr>
          <w:rFonts w:ascii="Arial" w:cs="Arial" w:hAnsi="Arial"/>
          <w:lang w:eastAsia="ar-SA"/>
        </w:rPr>
        <w:t>- každý kop musí vykonať iný hráč až dovtedy, kým sa nevystriedajú všetci oprávnení hráči družstva. Až potom môže kop vykonať hráč, ktorý už raz kop zahrával.</w:t>
      </w:r>
    </w:p>
    <w:p>
      <w:pPr>
        <w:pStyle w:val="style0"/>
        <w:suppressAutoHyphens w:val="false"/>
        <w:jc w:val="both"/>
      </w:pPr>
      <w:r>
        <w:rPr>
          <w:rFonts w:ascii="Arial" w:cs="Arial" w:hAnsi="Arial"/>
          <w:lang w:eastAsia="ar-SA"/>
        </w:rPr>
        <w:t>- ak má na konci stretnutia, pred akciou kopov, jedno z družstiev väčší počet hráčov ako druhé, počet hráčov sa musí vyrovnať na úroveň súpera.</w:t>
      </w:r>
    </w:p>
    <w:p>
      <w:pPr>
        <w:pStyle w:val="style0"/>
        <w:suppressAutoHyphens w:val="false"/>
        <w:jc w:val="both"/>
      </w:pPr>
      <w:r>
        <w:rPr/>
      </w:r>
    </w:p>
    <w:p>
      <w:pPr>
        <w:pStyle w:val="style0"/>
        <w:tabs>
          <w:tab w:leader="none" w:pos="426" w:val="left"/>
        </w:tabs>
        <w:suppressAutoHyphens w:val="false"/>
        <w:ind w:hanging="0" w:left="0" w:right="-1"/>
        <w:jc w:val="both"/>
      </w:pPr>
      <w:r>
        <w:rPr>
          <w:rFonts w:ascii="Arial" w:cs="Arial" w:hAnsi="Arial"/>
          <w:lang w:eastAsia="ar-SA"/>
        </w:rPr>
        <w:t>Osem víťazov krajských kôl si zaistí postup na Finále turnaja – Majstrovstvá Slovenska.</w:t>
      </w:r>
    </w:p>
    <w:p>
      <w:pPr>
        <w:pStyle w:val="style0"/>
        <w:tabs>
          <w:tab w:leader="none" w:pos="20271" w:val="left"/>
        </w:tabs>
        <w:ind w:hanging="2835" w:left="2835" w:right="-1"/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hAnsi="Arial"/>
          <w:b/>
          <w:color w:val="339933"/>
        </w:rPr>
        <w:t>Ceny:</w:t>
      </w:r>
    </w:p>
    <w:p>
      <w:pPr>
        <w:pStyle w:val="style0"/>
        <w:jc w:val="both"/>
      </w:pPr>
      <w:r>
        <w:rPr>
          <w:rFonts w:ascii="Arial" w:cs="Arial" w:hAnsi="Arial"/>
          <w:u w:val="single"/>
        </w:rPr>
        <w:t>Predkolá</w:t>
      </w:r>
      <w:r>
        <w:rPr>
          <w:rFonts w:ascii="Arial" w:cs="Arial" w:hAnsi="Arial"/>
        </w:rPr>
        <w:t xml:space="preserve"> – ceny a diplomy zabezpečuje usporiadateľ</w:t>
      </w:r>
    </w:p>
    <w:p>
      <w:pPr>
        <w:pStyle w:val="style0"/>
        <w:jc w:val="both"/>
      </w:pPr>
      <w:r>
        <w:rPr>
          <w:rFonts w:ascii="Arial" w:cs="Arial" w:hAnsi="Arial"/>
          <w:u w:val="single"/>
        </w:rPr>
        <w:t>Okresné kolá</w:t>
      </w:r>
      <w:r>
        <w:rPr>
          <w:rFonts w:ascii="Arial" w:cs="Arial" w:hAnsi="Arial"/>
        </w:rPr>
        <w:t xml:space="preserve"> – ceny a diplomy zabezpečuje usporiadateľ okresného kola </w:t>
      </w:r>
    </w:p>
    <w:p>
      <w:pPr>
        <w:pStyle w:val="style0"/>
        <w:jc w:val="both"/>
      </w:pPr>
      <w:r>
        <w:rPr>
          <w:rFonts w:ascii="Arial" w:cs="Arial" w:hAnsi="Arial"/>
          <w:u w:val="single"/>
        </w:rPr>
        <w:t>Krajské finále</w:t>
      </w:r>
      <w:r>
        <w:rPr>
          <w:rFonts w:ascii="Arial" w:cs="Arial" w:hAnsi="Arial"/>
        </w:rPr>
        <w:t xml:space="preserve"> - McDonald´s Slovakia, ďalší partneri zabezpečia vecné ceny pre všetky družstvá, medaily, poháre a ceny pre prvé tri družstvá, s logom turnaja.</w:t>
      </w:r>
    </w:p>
    <w:p>
      <w:pPr>
        <w:pStyle w:val="style0"/>
        <w:jc w:val="both"/>
      </w:pPr>
      <w:r>
        <w:rPr>
          <w:rFonts w:ascii="Arial" w:cs="Arial" w:hAnsi="Arial"/>
          <w:u w:val="single"/>
        </w:rPr>
        <w:t>Majstrovstvá Slovenska McDonald´s Cup</w:t>
      </w:r>
      <w:r>
        <w:rPr>
          <w:rFonts w:ascii="Arial" w:cs="Arial" w:hAnsi="Arial"/>
        </w:rPr>
        <w:t xml:space="preserve"> – McDonald´s Slovakia, SFZ a ďalší partneri zabezpečia vecné ceny pre všetky družstvá, diplomy, medaily a poháre pre prvé tri družstvá.</w:t>
      </w:r>
    </w:p>
    <w:p>
      <w:pPr>
        <w:pStyle w:val="style0"/>
        <w:ind w:hanging="12" w:left="0" w:right="0"/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hAnsi="Arial"/>
        </w:rPr>
        <w:t xml:space="preserve">Ďalšie informácie o súťaži McDonald's Cup môžete získať u krajských grassroots koordinátorov SFZ alebo na emailovej adrese </w:t>
      </w:r>
      <w:hyperlink r:id="rId15">
        <w:r>
          <w:rPr>
            <w:rStyle w:val="style16"/>
            <w:rStyle w:val="style16"/>
            <w:rFonts w:ascii="Arial" w:cs="Arial" w:hAnsi="Arial"/>
          </w:rPr>
          <w:t>kniezova.lucia@1stclass.sk</w:t>
        </w:r>
      </w:hyperlink>
      <w:r>
        <w:rPr>
          <w:rFonts w:ascii="Arial" w:cs="Arial" w:hAnsi="Arial"/>
        </w:rPr>
        <w:t>.</w:t>
      </w:r>
    </w:p>
    <w:p>
      <w:pPr>
        <w:pStyle w:val="style0"/>
        <w:tabs>
          <w:tab w:leader="none" w:pos="426" w:val="left"/>
        </w:tabs>
        <w:jc w:val="both"/>
      </w:pPr>
      <w:r>
        <w:rPr>
          <w:rFonts w:ascii="Arial" w:cs="Arial" w:hAnsi="Arial"/>
          <w:b/>
          <w:bCs/>
        </w:rPr>
        <w:t>Kontaktné osoby pre športové súťaže žiakov na Okresných úradoch – odboroch školstva:</w:t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tbl>
      <w:tblPr>
        <w:jc w:val="left"/>
        <w:tblInd w:type="dxa" w:w="39"/>
        <w:tblBorders>
          <w:top w:color="000001" w:space="0" w:sz="4" w:val="single"/>
          <w:left w:color="000001" w:space="0" w:sz="4" w:val="single"/>
          <w:bottom w:val="none"/>
          <w:insideH w:val="none"/>
          <w:right w:val="none"/>
          <w:insideV w:val="none"/>
        </w:tblBorders>
        <w:tblCellMar>
          <w:top w:type="dxa" w:w="0"/>
          <w:left w:type="dxa" w:w="35"/>
          <w:bottom w:type="dxa" w:w="0"/>
          <w:right w:type="dxa" w:w="70"/>
        </w:tblCellMar>
      </w:tblPr>
      <w:tblGrid>
        <w:gridCol w:w="2545"/>
        <w:gridCol w:w="3166"/>
        <w:gridCol w:w="3771"/>
      </w:tblGrid>
      <w:tr>
        <w:trPr>
          <w:trHeight w:hRule="atLeast" w:val="315"/>
          <w:cantSplit w:val="false"/>
        </w:trPr>
        <w:tc>
          <w:tcPr>
            <w:tcW w:type="dxa" w:w="2545"/>
            <w:tcBorders>
              <w:top w:color="000001" w:space="0" w:sz="4" w:val="singl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Bratislava</w:t>
            </w:r>
          </w:p>
        </w:tc>
        <w:tc>
          <w:tcPr>
            <w:tcW w:type="dxa" w:w="3166"/>
            <w:tcBorders>
              <w:top w:color="000001" w:space="0" w:sz="4" w:val="singl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Ľubomír Čamek</w:t>
            </w:r>
          </w:p>
        </w:tc>
        <w:tc>
          <w:tcPr>
            <w:tcW w:type="dxa" w:w="3771"/>
            <w:tcBorders>
              <w:top w:color="000001" w:space="0" w:sz="4" w:val="singl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02/4920 7837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16">
              <w:r>
                <w:rPr>
                  <w:rStyle w:val="style16"/>
                  <w:rStyle w:val="style16"/>
                  <w:rFonts w:ascii="Arial" w:cs="Arial" w:hAnsi="Arial"/>
                </w:rPr>
                <w:t>lubomir.camek@minv.sk</w:t>
              </w:r>
            </w:hyperlink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Banská Bystrica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Ing. Mária Kolárska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048/4710 121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17">
              <w:r>
                <w:rPr>
                  <w:rStyle w:val="style16"/>
                  <w:rStyle w:val="style16"/>
                  <w:rFonts w:ascii="Arial" w:cs="Arial" w:hAnsi="Arial"/>
                </w:rPr>
                <w:t>maria.kolarska@minv.sk</w:t>
              </w:r>
            </w:hyperlink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Košice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 xml:space="preserve">PaedDr. Milan Gomolčák 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055/7245 119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18">
              <w:r>
                <w:rPr>
                  <w:rStyle w:val="style16"/>
                  <w:rStyle w:val="style16"/>
                  <w:rFonts w:ascii="Arial" w:cs="Arial" w:hAnsi="Arial"/>
                  <w:color w:val="0033CC"/>
                </w:rPr>
                <w:t>milan.gomolcak@minv.sk</w:t>
              </w:r>
            </w:hyperlink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Nitra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 xml:space="preserve">Mgr. Marián Moravčík 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037/6969324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19">
              <w:r>
                <w:rPr>
                  <w:rStyle w:val="style16"/>
                  <w:rStyle w:val="style16"/>
                  <w:rFonts w:ascii="Arial" w:cs="Arial" w:hAnsi="Arial"/>
                </w:rPr>
                <w:t>marian.moravcik@minv.sk</w:t>
              </w:r>
            </w:hyperlink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Prešov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Mgr. Miloš Jakubík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051/7462 740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20">
              <w:r>
                <w:rPr>
                  <w:rStyle w:val="style16"/>
                  <w:rStyle w:val="style16"/>
                  <w:rFonts w:ascii="Arial" w:cs="Arial" w:hAnsi="Arial"/>
                </w:rPr>
                <w:t>milos.jakubik@minv.sk</w:t>
              </w:r>
            </w:hyperlink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Trenčín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Mgr. Tatiana Križanová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032/7411 458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21">
              <w:r>
                <w:rPr>
                  <w:rStyle w:val="style16"/>
                  <w:rStyle w:val="style16"/>
                  <w:rFonts w:ascii="Arial" w:cs="Arial" w:hAnsi="Arial"/>
                </w:rPr>
                <w:t>tatiana.krizanova@minv.sk</w:t>
              </w:r>
            </w:hyperlink>
          </w:p>
        </w:tc>
      </w:tr>
      <w:tr>
        <w:trPr>
          <w:trHeight w:hRule="atLeast" w:val="60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Trnava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RNDr. Eva Huttová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PaedDr. Karol Grajcár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 xml:space="preserve">033/5550 257                  </w:t>
            </w:r>
          </w:p>
          <w:p>
            <w:pPr>
              <w:pStyle w:val="style0"/>
              <w:suppressAutoHyphens w:val="false"/>
              <w:jc w:val="both"/>
            </w:pPr>
            <w:hyperlink r:id="rId22">
              <w:r>
                <w:rPr>
                  <w:rStyle w:val="style16"/>
                  <w:rStyle w:val="style16"/>
                  <w:rFonts w:ascii="Arial" w:cs="Arial" w:hAnsi="Arial"/>
                  <w:lang w:eastAsia="sk-SK"/>
                </w:rPr>
                <w:t>eva.huttova@minv.sk</w:t>
              </w:r>
            </w:hyperlink>
            <w:r>
              <w:rPr>
                <w:rFonts w:ascii="Arial" w:cs="Arial" w:hAnsi="Arial"/>
                <w:u w:val="single"/>
                <w:lang w:eastAsia="sk-SK"/>
              </w:rPr>
              <w:t xml:space="preserve">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23">
              <w:r>
                <w:rPr>
                  <w:rStyle w:val="style16"/>
                  <w:rStyle w:val="style16"/>
                  <w:rFonts w:ascii="Arial" w:cs="Arial" w:hAnsi="Arial"/>
                </w:rPr>
                <w:t>karol.grajcar@minv.sk</w:t>
              </w:r>
            </w:hyperlink>
          </w:p>
        </w:tc>
      </w:tr>
      <w:tr>
        <w:trPr>
          <w:trHeight w:hRule="atLeast" w:val="315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Žilina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Mgr. Mária Petráková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041/7076211, 041/7076245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  <w:vAlign w:val="bottom"/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24">
              <w:r>
                <w:rPr>
                  <w:rStyle w:val="style16"/>
                  <w:rStyle w:val="style16"/>
                  <w:rFonts w:ascii="Arial" w:cs="Arial" w:hAnsi="Arial"/>
                </w:rPr>
                <w:t>maria.petrakova@minv.sk</w:t>
              </w:r>
            </w:hyperlink>
          </w:p>
        </w:tc>
      </w:tr>
    </w:tbl>
    <w:p>
      <w:pPr>
        <w:pStyle w:val="style0"/>
        <w:tabs>
          <w:tab w:leader="none" w:pos="426" w:val="left"/>
        </w:tabs>
        <w:jc w:val="both"/>
      </w:pPr>
      <w:r>
        <w:rPr>
          <w:rFonts w:ascii="Arial" w:cs="Arial" w:eastAsia="Arial" w:hAnsi="Arial"/>
        </w:rPr>
        <w:t xml:space="preserve"> </w:t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bCs/>
        </w:rPr>
        <w:t>Kontaktné osoby SFZ – Krajskí Grassroots koordinátori:</w:t>
      </w:r>
    </w:p>
    <w:tbl>
      <w:tblPr>
        <w:jc w:val="left"/>
        <w:tblInd w:type="dxa" w:w="39"/>
        <w:tblBorders>
          <w:top w:color="000001" w:space="0" w:sz="4" w:val="single"/>
          <w:left w:color="000001" w:space="0" w:sz="4" w:val="single"/>
          <w:bottom w:val="none"/>
          <w:insideH w:val="none"/>
          <w:right w:val="none"/>
          <w:insideV w:val="none"/>
        </w:tblBorders>
        <w:tblCellMar>
          <w:top w:type="dxa" w:w="0"/>
          <w:left w:type="dxa" w:w="35"/>
          <w:bottom w:type="dxa" w:w="0"/>
          <w:right w:type="dxa" w:w="70"/>
        </w:tblCellMar>
      </w:tblPr>
      <w:tblGrid>
        <w:gridCol w:w="2545"/>
        <w:gridCol w:w="3166"/>
        <w:gridCol w:w="3771"/>
      </w:tblGrid>
      <w:tr>
        <w:trPr>
          <w:trHeight w:hRule="atLeast" w:val="330"/>
          <w:cantSplit w:val="false"/>
        </w:trPr>
        <w:tc>
          <w:tcPr>
            <w:tcW w:type="dxa" w:w="2545"/>
            <w:tcBorders>
              <w:top w:color="000001" w:space="0" w:sz="4" w:val="singl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Bratislava</w:t>
            </w:r>
          </w:p>
        </w:tc>
        <w:tc>
          <w:tcPr>
            <w:tcW w:type="dxa" w:w="3166"/>
            <w:tcBorders>
              <w:top w:color="000001" w:space="0" w:sz="4" w:val="singl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Pavol Príkopa</w:t>
            </w:r>
          </w:p>
        </w:tc>
        <w:tc>
          <w:tcPr>
            <w:tcW w:type="dxa" w:w="3771"/>
            <w:tcBorders>
              <w:top w:color="000001" w:space="0" w:sz="4" w:val="singl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m: 0905 474 471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25">
              <w:r>
                <w:rPr>
                  <w:rStyle w:val="style16"/>
                  <w:rStyle w:val="style16"/>
                  <w:rFonts w:ascii="Arial" w:cs="Arial" w:hAnsi="Arial"/>
                </w:rPr>
                <w:t>pavel.prikopa@futbalsfz.sk</w:t>
              </w:r>
            </w:hyperlink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Banská Bystrica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 xml:space="preserve">Mgr. Patrik Palíder                 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m: 0903 254 268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26">
              <w:r>
                <w:rPr>
                  <w:rStyle w:val="style16"/>
                  <w:rStyle w:val="style16"/>
                  <w:rFonts w:ascii="Arial" w:cs="Arial" w:hAnsi="Arial"/>
                  <w:lang w:eastAsia="sk-SK"/>
                </w:rPr>
                <w:t>patrik.palider@gmail.com</w:t>
              </w:r>
            </w:hyperlink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Košice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Cyril Migaš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m: 0905 756 296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/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27">
              <w:r>
                <w:rPr>
                  <w:rStyle w:val="style16"/>
                  <w:rStyle w:val="style16"/>
                  <w:rFonts w:ascii="Arial" w:cs="Arial" w:hAnsi="Arial"/>
                </w:rPr>
                <w:t>migas.cyril@post.sk</w:t>
              </w:r>
            </w:hyperlink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color="000001" w:space="0" w:sz="4" w:val="singl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Nitra</w:t>
            </w:r>
          </w:p>
        </w:tc>
        <w:tc>
          <w:tcPr>
            <w:tcW w:type="dxa" w:w="3166"/>
            <w:tcBorders>
              <w:top w:color="000001" w:space="0" w:sz="4" w:val="singl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 xml:space="preserve">PaedDr. Štefan Labay </w:t>
            </w:r>
          </w:p>
        </w:tc>
        <w:tc>
          <w:tcPr>
            <w:tcW w:type="dxa" w:w="3771"/>
            <w:tcBorders>
              <w:top w:color="000001" w:space="0" w:sz="4" w:val="singl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m: 0905 420 014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28">
              <w:r>
                <w:rPr>
                  <w:rStyle w:val="style16"/>
                  <w:rStyle w:val="style16"/>
                  <w:rFonts w:ascii="Arial" w:cs="Arial" w:hAnsi="Arial"/>
                  <w:lang w:eastAsia="sk-SK"/>
                </w:rPr>
                <w:t>stefan.labay.st@gmail.com</w:t>
              </w:r>
            </w:hyperlink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Prešov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 xml:space="preserve">Mgr. Peter Vandraško 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m: 0908 995 807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/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29">
              <w:r>
                <w:rPr>
                  <w:rStyle w:val="style16"/>
                  <w:rStyle w:val="style16"/>
                  <w:rFonts w:ascii="Arial" w:cs="Arial" w:hAnsi="Arial"/>
                </w:rPr>
                <w:t>vandro10@centrum.sk</w:t>
              </w:r>
            </w:hyperlink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color="000001" w:space="0" w:sz="4" w:val="singl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Trenčín</w:t>
            </w:r>
          </w:p>
        </w:tc>
        <w:tc>
          <w:tcPr>
            <w:tcW w:type="dxa" w:w="3166"/>
            <w:tcBorders>
              <w:top w:color="000001" w:space="0" w:sz="4" w:val="singl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Dušan Raninec</w:t>
            </w:r>
          </w:p>
        </w:tc>
        <w:tc>
          <w:tcPr>
            <w:tcW w:type="dxa" w:w="3771"/>
            <w:tcBorders>
              <w:top w:color="000001" w:space="0" w:sz="4" w:val="singl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m: 0903 666 822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30">
              <w:r>
                <w:rPr>
                  <w:rStyle w:val="style16"/>
                  <w:rStyle w:val="style16"/>
                  <w:rFonts w:ascii="Arial" w:cs="Arial" w:hAnsi="Arial"/>
                </w:rPr>
                <w:t>trenerko9@precin.eu</w:t>
              </w:r>
            </w:hyperlink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Trnava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Akos Bugár</w:t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m: 0903 151 690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/>
            </w:r>
          </w:p>
        </w:tc>
        <w:tc>
          <w:tcPr>
            <w:tcW w:type="dxa" w:w="3771"/>
            <w:tcBorders>
              <w:top w:val="non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31">
              <w:r>
                <w:rPr>
                  <w:rStyle w:val="style16"/>
                  <w:rStyle w:val="style16"/>
                  <w:rFonts w:ascii="Arial" w:cs="Arial" w:hAnsi="Arial"/>
                </w:rPr>
                <w:t xml:space="preserve">akosbugar80@gmail.com </w:t>
              </w:r>
            </w:hyperlink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color="000001" w:space="0" w:sz="4" w:val="singl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Žilina</w:t>
            </w:r>
          </w:p>
        </w:tc>
        <w:tc>
          <w:tcPr>
            <w:tcW w:type="dxa" w:w="3166"/>
            <w:tcBorders>
              <w:top w:color="000001" w:space="0" w:sz="4" w:val="singl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Igor Bella</w:t>
            </w:r>
          </w:p>
        </w:tc>
        <w:tc>
          <w:tcPr>
            <w:tcW w:type="dxa" w:w="3771"/>
            <w:tcBorders>
              <w:top w:color="000001" w:space="0" w:sz="4" w:val="singl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m: 0905 412 378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  <w:vAlign w:val="bottom"/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Style w:val="style16"/>
                <w:rFonts w:ascii="Arial" w:cs="Arial" w:hAnsi="Arial"/>
                <w:lang w:eastAsia="sk-SK"/>
              </w:rPr>
              <w:t>Igi.bella</w:t>
            </w:r>
            <w:hyperlink r:id="rId32">
              <w:r>
                <w:rPr>
                  <w:rStyle w:val="style16"/>
                  <w:rStyle w:val="style16"/>
                  <w:rFonts w:ascii="Arial" w:cs="Arial" w:hAnsi="Arial"/>
                  <w:lang w:eastAsia="sk-SK"/>
                </w:rPr>
                <w:t>@</w:t>
              </w:r>
            </w:hyperlink>
            <w:r>
              <w:rPr>
                <w:rStyle w:val="style16"/>
                <w:rFonts w:ascii="Arial" w:cs="Arial" w:hAnsi="Arial"/>
                <w:lang w:eastAsia="sk-SK"/>
              </w:rPr>
              <w:t>gmail.com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bCs/>
        </w:rPr>
        <w:t>Zástupca generálneho partnera McDonald´s:</w:t>
      </w:r>
    </w:p>
    <w:tbl>
      <w:tblPr>
        <w:jc w:val="left"/>
        <w:tblInd w:type="dxa" w:w="39"/>
        <w:tblBorders>
          <w:top w:color="000001" w:space="0" w:sz="4" w:val="single"/>
          <w:left w:color="000001" w:space="0" w:sz="4" w:val="single"/>
          <w:bottom w:val="none"/>
          <w:insideH w:val="none"/>
          <w:right w:val="none"/>
          <w:insideV w:val="none"/>
        </w:tblBorders>
        <w:tblCellMar>
          <w:top w:type="dxa" w:w="0"/>
          <w:left w:type="dxa" w:w="35"/>
          <w:bottom w:type="dxa" w:w="0"/>
          <w:right w:type="dxa" w:w="70"/>
        </w:tblCellMar>
      </w:tblPr>
      <w:tblGrid>
        <w:gridCol w:w="2545"/>
        <w:gridCol w:w="3166"/>
        <w:gridCol w:w="3771"/>
      </w:tblGrid>
      <w:tr>
        <w:trPr>
          <w:trHeight w:hRule="atLeast" w:val="330"/>
          <w:cantSplit w:val="false"/>
        </w:trPr>
        <w:tc>
          <w:tcPr>
            <w:tcW w:type="dxa" w:w="2545"/>
            <w:tcBorders>
              <w:top w:color="000001" w:space="0" w:sz="4" w:val="single"/>
              <w:left w:color="000001" w:space="0" w:sz="4" w:val="single"/>
              <w:bottom w:val="non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sz w:val="23"/>
                <w:szCs w:val="23"/>
                <w:lang w:eastAsia="sk-SK"/>
              </w:rPr>
              <w:t>1</w:t>
            </w:r>
            <w:r>
              <w:rPr>
                <w:rFonts w:ascii="Arial" w:cs="Arial" w:hAnsi="Arial"/>
                <w:b/>
                <w:bCs/>
                <w:color w:val="008000"/>
                <w:sz w:val="23"/>
                <w:szCs w:val="23"/>
                <w:vertAlign w:val="superscript"/>
                <w:lang w:eastAsia="sk-SK"/>
              </w:rPr>
              <w:t>st</w:t>
            </w:r>
            <w:r>
              <w:rPr>
                <w:rFonts w:ascii="Arial" w:cs="Arial" w:hAnsi="Arial"/>
                <w:b/>
                <w:bCs/>
                <w:color w:val="008000"/>
                <w:sz w:val="23"/>
                <w:szCs w:val="23"/>
                <w:lang w:eastAsia="sk-SK"/>
              </w:rPr>
              <w:t xml:space="preserve"> CLASS AGENCY</w:t>
            </w:r>
          </w:p>
        </w:tc>
        <w:tc>
          <w:tcPr>
            <w:tcW w:type="dxa" w:w="3166"/>
            <w:tcBorders>
              <w:top w:color="000001" w:space="0" w:sz="4" w:val="single"/>
              <w:left w:val="none"/>
              <w:bottom w:val="non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Lucia Kniezová</w:t>
            </w:r>
          </w:p>
        </w:tc>
        <w:tc>
          <w:tcPr>
            <w:tcW w:type="dxa" w:w="3771"/>
            <w:tcBorders>
              <w:top w:color="000001" w:space="0" w:sz="4" w:val="single"/>
              <w:left w:val="none"/>
              <w:bottom w:val="non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lang w:eastAsia="sk-SK"/>
              </w:rPr>
              <w:t>m: 0911 962 629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254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rFonts w:ascii="Arial" w:cs="Arial" w:hAnsi="Arial"/>
                <w:b/>
                <w:bCs/>
                <w:color w:val="008000"/>
                <w:lang w:eastAsia="sk-SK"/>
              </w:rPr>
              <w:t> </w:t>
            </w:r>
          </w:p>
        </w:tc>
        <w:tc>
          <w:tcPr>
            <w:tcW w:type="dxa" w:w="3166"/>
            <w:tcBorders>
              <w:top w:val="none"/>
              <w:left w:val="none"/>
              <w:bottom w:color="000001" w:space="0" w:sz="4" w:val="single"/>
              <w:right w:val="non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ind w:hanging="58" w:left="58" w:right="0"/>
              <w:jc w:val="both"/>
            </w:pPr>
            <w:r>
              <w:rPr>
                <w:rFonts w:ascii="Arial" w:cs="Arial" w:hAnsi="Arial"/>
                <w:color w:val="000000"/>
                <w:lang w:eastAsia="sk-SK"/>
              </w:rPr>
              <w:t> </w:t>
            </w:r>
          </w:p>
        </w:tc>
        <w:tc>
          <w:tcPr>
            <w:tcW w:type="dxa" w:w="377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0"/>
            </w:tcMar>
          </w:tcPr>
          <w:p>
            <w:pPr>
              <w:pStyle w:val="style0"/>
              <w:suppressAutoHyphens w:val="false"/>
              <w:jc w:val="both"/>
            </w:pPr>
            <w:hyperlink r:id="rId33">
              <w:r>
                <w:rPr>
                  <w:rStyle w:val="style16"/>
                  <w:rStyle w:val="style16"/>
                  <w:rFonts w:ascii="Arial" w:cs="Arial" w:hAnsi="Arial"/>
                  <w:lang w:eastAsia="sk-SK"/>
                </w:rPr>
                <w:t>kniezova.lucia@1stclass.sk</w:t>
              </w:r>
            </w:hyperlink>
          </w:p>
        </w:tc>
      </w:tr>
    </w:tbl>
    <w:p>
      <w:pPr>
        <w:pStyle w:val="style0"/>
      </w:pPr>
      <w:r>
        <w:rPr/>
      </w:r>
    </w:p>
    <w:p>
      <w:pPr>
        <w:pStyle w:val="style0"/>
        <w:ind w:hanging="1559" w:left="2268" w:right="650"/>
      </w:pPr>
      <w:r>
        <w:rPr/>
      </w:r>
    </w:p>
    <w:sectPr>
      <w:footerReference r:id="rId34" w:type="first"/>
      <w:type w:val="nextPage"/>
      <w:pgSz w:h="16838" w:w="11906"/>
      <w:pgMar w:bottom="680" w:footer="0" w:gutter="0" w:header="0" w:left="851" w:right="851" w:top="96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8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</w:pPr>
    <w:r>
      <w:rPr/>
      <w:drawing>
        <wp:inline distB="0" distL="0" distR="0" distT="0">
          <wp:extent cx="14605" cy="14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drawing>
        <wp:inline distB="0" distL="0" distR="0" distT="0">
          <wp:extent cx="14605" cy="14605"/>
          <wp:effectExtent b="0" l="0" r="0" t="0"/>
          <wp:docPr descr="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2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drawing>
        <wp:inline distB="0" distL="0" distR="0" distT="0">
          <wp:extent cx="14605" cy="14605"/>
          <wp:effectExtent b="0" l="0" r="0" t="0"/>
          <wp:docPr descr="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3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720" w:val="num"/>
        </w:tabs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sk-SK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Základný text Char"/>
    <w:basedOn w:val="style15"/>
    <w:next w:val="style17"/>
    <w:rPr>
      <w:rFonts w:ascii="Times New Roman" w:cs="Times New Roman" w:eastAsia="Times New Roman" w:hAnsi="Times New Roman"/>
      <w:sz w:val="24"/>
      <w:szCs w:val="24"/>
      <w:lang w:eastAsia="zh-CN"/>
    </w:rPr>
  </w:style>
  <w:style w:styleId="style18" w:type="character">
    <w:name w:val="Hlavička Char"/>
    <w:basedOn w:val="style15"/>
    <w:next w:val="style18"/>
    <w:rPr>
      <w:rFonts w:ascii="Times New Roman" w:cs="Times New Roman" w:eastAsia="Times New Roman" w:hAnsi="Times New Roman"/>
      <w:sz w:val="24"/>
      <w:szCs w:val="24"/>
      <w:lang w:eastAsia="zh-CN"/>
    </w:rPr>
  </w:style>
  <w:style w:styleId="style19" w:type="character">
    <w:name w:val="Päta Char"/>
    <w:basedOn w:val="style15"/>
    <w:next w:val="style19"/>
    <w:rPr>
      <w:rFonts w:ascii="Times New Roman" w:cs="Times New Roman" w:eastAsia="Times New Roman" w:hAnsi="Times New Roman"/>
      <w:sz w:val="24"/>
      <w:szCs w:val="24"/>
      <w:lang w:eastAsia="zh-CN"/>
    </w:rPr>
  </w:style>
  <w:style w:styleId="style20" w:type="character">
    <w:name w:val="Text bubliny Char"/>
    <w:basedOn w:val="style15"/>
    <w:next w:val="style20"/>
    <w:rPr>
      <w:rFonts w:ascii="Tahoma" w:cs="Tahoma" w:eastAsia="Times New Roman" w:hAnsi="Tahoma"/>
      <w:sz w:val="16"/>
      <w:szCs w:val="16"/>
      <w:lang w:eastAsia="zh-CN"/>
    </w:rPr>
  </w:style>
  <w:style w:styleId="style21" w:type="character">
    <w:name w:val="ListLabel 1"/>
    <w:next w:val="style21"/>
    <w:rPr>
      <w:rFonts w:cs="OpenSymbol"/>
    </w:rPr>
  </w:style>
  <w:style w:styleId="style22" w:type="character">
    <w:name w:val="ListLabel 2"/>
    <w:next w:val="style22"/>
    <w:rPr>
      <w:rFonts w:cs="Calibri"/>
      <w:b/>
      <w:sz w:val="20"/>
    </w:rPr>
  </w:style>
  <w:style w:styleId="style23" w:type="character">
    <w:name w:val="ListLabel 3"/>
    <w:next w:val="style23"/>
    <w:rPr>
      <w:rFonts w:cs="Wingdings 2"/>
    </w:rPr>
  </w:style>
  <w:style w:styleId="style24" w:type="character">
    <w:name w:val="ListLabel 4"/>
    <w:next w:val="style24"/>
    <w:rPr>
      <w:rFonts w:cs="Wingdings 2"/>
    </w:rPr>
  </w:style>
  <w:style w:styleId="style25" w:type="character">
    <w:name w:val="ListLabel 5"/>
    <w:next w:val="style25"/>
    <w:rPr>
      <w:rFonts w:cs="OpenSymbol"/>
    </w:rPr>
  </w:style>
  <w:style w:styleId="style26" w:type="character">
    <w:name w:val="ListLabel 6"/>
    <w:next w:val="style26"/>
    <w:rPr>
      <w:rFonts w:cs="Wingdings 2"/>
    </w:rPr>
  </w:style>
  <w:style w:styleId="style27" w:type="character">
    <w:name w:val="ListLabel 7"/>
    <w:next w:val="style27"/>
    <w:rPr>
      <w:rFonts w:cs="OpenSymbol"/>
    </w:rPr>
  </w:style>
  <w:style w:styleId="style28" w:type="character">
    <w:name w:val="ListLabel 8"/>
    <w:next w:val="style28"/>
    <w:rPr>
      <w:rFonts w:cs="Wingdings 2"/>
    </w:rPr>
  </w:style>
  <w:style w:styleId="style29" w:type="character">
    <w:name w:val="ListLabel 9"/>
    <w:next w:val="style29"/>
    <w:rPr>
      <w:rFonts w:cs="OpenSymbol"/>
    </w:rPr>
  </w:style>
  <w:style w:styleId="style30" w:type="character">
    <w:name w:val="ListLabel 10"/>
    <w:next w:val="style30"/>
    <w:rPr>
      <w:rFonts w:cs="Wingdings 2"/>
    </w:rPr>
  </w:style>
  <w:style w:styleId="style31" w:type="character">
    <w:name w:val="ListLabel 11"/>
    <w:next w:val="style31"/>
    <w:rPr>
      <w:rFonts w:cs="OpenSymbol"/>
    </w:rPr>
  </w:style>
  <w:style w:styleId="style32" w:type="paragraph">
    <w:name w:val="Nadpis"/>
    <w:basedOn w:val="style0"/>
    <w:next w:val="style33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33" w:type="paragraph">
    <w:name w:val="Tělo textu"/>
    <w:basedOn w:val="style0"/>
    <w:next w:val="style33"/>
    <w:pPr>
      <w:spacing w:after="120" w:before="0"/>
      <w:contextualSpacing w:val="false"/>
    </w:pPr>
    <w:rPr/>
  </w:style>
  <w:style w:styleId="style34" w:type="paragraph">
    <w:name w:val="Seznam"/>
    <w:basedOn w:val="style33"/>
    <w:next w:val="style34"/>
    <w:pPr/>
    <w:rPr>
      <w:rFonts w:cs="Lucida Sans"/>
    </w:rPr>
  </w:style>
  <w:style w:styleId="style35" w:type="paragraph">
    <w:name w:val="Popisek"/>
    <w:basedOn w:val="style0"/>
    <w:next w:val="style35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36" w:type="paragraph">
    <w:name w:val="Rejstřík"/>
    <w:basedOn w:val="style0"/>
    <w:next w:val="style36"/>
    <w:pPr>
      <w:suppressLineNumbers/>
    </w:pPr>
    <w:rPr>
      <w:rFonts w:cs="Lucida Sans"/>
    </w:rPr>
  </w:style>
  <w:style w:styleId="style37" w:type="paragraph">
    <w:name w:val="Záhlaví"/>
    <w:basedOn w:val="style0"/>
    <w:next w:val="style37"/>
    <w:pPr>
      <w:tabs>
        <w:tab w:leader="none" w:pos="4536" w:val="center"/>
        <w:tab w:leader="none" w:pos="9072" w:val="right"/>
      </w:tabs>
    </w:pPr>
    <w:rPr/>
  </w:style>
  <w:style w:styleId="style38" w:type="paragraph">
    <w:name w:val="Zápatí"/>
    <w:basedOn w:val="style0"/>
    <w:next w:val="style38"/>
    <w:pPr>
      <w:tabs>
        <w:tab w:leader="none" w:pos="4536" w:val="center"/>
        <w:tab w:leader="none" w:pos="9072" w:val="right"/>
      </w:tabs>
    </w:pPr>
    <w:rPr/>
  </w:style>
  <w:style w:styleId="style39" w:type="paragraph">
    <w:name w:val="Balloon Text"/>
    <w:basedOn w:val="style0"/>
    <w:next w:val="style39"/>
    <w:pPr/>
    <w:rPr>
      <w:rFonts w:ascii="Tahoma" w:cs="Tahoma" w:hAnsi="Tahoma"/>
      <w:sz w:val="16"/>
      <w:szCs w:val="16"/>
    </w:rPr>
  </w:style>
  <w:style w:styleId="style40" w:type="paragraph">
    <w:name w:val="List Paragraph"/>
    <w:basedOn w:val="style0"/>
    <w:next w:val="style40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kolskysport.sk/" TargetMode="External"/><Relationship Id="rId4" Type="http://schemas.openxmlformats.org/officeDocument/2006/relationships/hyperlink" Target="http://www.mcdonaldscup.sk/" TargetMode="External"/><Relationship Id="rId5" Type="http://schemas.openxmlformats.org/officeDocument/2006/relationships/hyperlink" Target="http://www.skolskysport.sk/" TargetMode="External"/><Relationship Id="rId6" Type="http://schemas.openxmlformats.org/officeDocument/2006/relationships/hyperlink" Target="http://www.mcdonaldscup.sk/" TargetMode="External"/><Relationship Id="rId7" Type="http://schemas.openxmlformats.org/officeDocument/2006/relationships/hyperlink" Target="http://www.mcdonaldscup.sk/" TargetMode="External"/><Relationship Id="rId8" Type="http://schemas.openxmlformats.org/officeDocument/2006/relationships/hyperlink" Target="http://www.skolskysport.sk/" TargetMode="External"/><Relationship Id="rId9" Type="http://schemas.openxmlformats.org/officeDocument/2006/relationships/hyperlink" Target="http://www.mcdonaldscup.sk/" TargetMode="External"/><Relationship Id="rId10" Type="http://schemas.openxmlformats.org/officeDocument/2006/relationships/hyperlink" Target="http://www.skolskysport.sk/" TargetMode="External"/><Relationship Id="rId11" Type="http://schemas.openxmlformats.org/officeDocument/2006/relationships/hyperlink" Target="http://www.mcdonaldscup.sk/" TargetMode="External"/><Relationship Id="rId12" Type="http://schemas.openxmlformats.org/officeDocument/2006/relationships/hyperlink" Target="mailto:kniezova.lucia@1stclass.sk" TargetMode="External"/><Relationship Id="rId13" Type="http://schemas.openxmlformats.org/officeDocument/2006/relationships/hyperlink" Target="http://www.mcdonaldscup.sk/sk/rocnik_2011_2012/www.mcdonaldscup.sk" TargetMode="External"/><Relationship Id="rId14" Type="http://schemas.openxmlformats.org/officeDocument/2006/relationships/hyperlink" Target="http://www.skolskysport.sk/" TargetMode="External"/><Relationship Id="rId15" Type="http://schemas.openxmlformats.org/officeDocument/2006/relationships/hyperlink" Target="mailto:kniezova.lucia@1stclass.sk" TargetMode="External"/><Relationship Id="rId16" Type="http://schemas.openxmlformats.org/officeDocument/2006/relationships/hyperlink" Target="mailto:lubomir.camek@minv.sk" TargetMode="External"/><Relationship Id="rId17" Type="http://schemas.openxmlformats.org/officeDocument/2006/relationships/hyperlink" Target="mailto:maria.kolarska@ksu-bb.sk" TargetMode="External"/><Relationship Id="rId18" Type="http://schemas.openxmlformats.org/officeDocument/2006/relationships/hyperlink" Target="mailto:milan.gomolcak@minv.sk" TargetMode="External"/><Relationship Id="rId19" Type="http://schemas.openxmlformats.org/officeDocument/2006/relationships/hyperlink" Target="mailto:marian.moravcik@ksunitra.sk" TargetMode="External"/><Relationship Id="rId20" Type="http://schemas.openxmlformats.org/officeDocument/2006/relationships/hyperlink" Target="mailto:milos.jakubik@ksupo.sk" TargetMode="External"/><Relationship Id="rId21" Type="http://schemas.openxmlformats.org/officeDocument/2006/relationships/hyperlink" Target="mailto:tatiana.krizanova@minv.sk" TargetMode="External"/><Relationship Id="rId22" Type="http://schemas.openxmlformats.org/officeDocument/2006/relationships/hyperlink" Target="mailto:eva.huttova@minv.sk" TargetMode="External"/><Relationship Id="rId23" Type="http://schemas.openxmlformats.org/officeDocument/2006/relationships/hyperlink" Target="mailto:karol.grajcar@ksutt.sk" TargetMode="External"/><Relationship Id="rId24" Type="http://schemas.openxmlformats.org/officeDocument/2006/relationships/hyperlink" Target="mailto:maria.petrakova@ksuza.sk" TargetMode="External"/><Relationship Id="rId25" Type="http://schemas.openxmlformats.org/officeDocument/2006/relationships/hyperlink" Target="mailto:pavel.prikopa@futbalsfz.sk" TargetMode="External"/><Relationship Id="rId26" Type="http://schemas.openxmlformats.org/officeDocument/2006/relationships/hyperlink" Target="file:///C:\Users\jozef obert\LocalSettings\TemporaryInternetFiles\Content.Outlook\7KDZC33C\patrik.palider@gmail.com" TargetMode="External"/><Relationship Id="rId27" Type="http://schemas.openxmlformats.org/officeDocument/2006/relationships/hyperlink" Target="mailto:migas.cyril@post.sk" TargetMode="External"/><Relationship Id="rId28" Type="http://schemas.openxmlformats.org/officeDocument/2006/relationships/hyperlink" Target="file:///C:\Users\jozef obert\LocalSettings\TemporaryInternetFiles\Content.Outlook\7KDZC33C\stefan.labay.st@gmail.com" TargetMode="External"/><Relationship Id="rId29" Type="http://schemas.openxmlformats.org/officeDocument/2006/relationships/hyperlink" Target="mailto:vandro10@centrum.sk" TargetMode="External"/><Relationship Id="rId30" Type="http://schemas.openxmlformats.org/officeDocument/2006/relationships/hyperlink" Target="mailto:trenerko9@precin.eu" TargetMode="External"/><Relationship Id="rId31" Type="http://schemas.openxmlformats.org/officeDocument/2006/relationships/hyperlink" Target="mailto:illesa84@gmail.com" TargetMode="External"/><Relationship Id="rId32" Type="http://schemas.openxmlformats.org/officeDocument/2006/relationships/hyperlink" Target="file:///C:\Users\jozef obert\LocalSettings\TemporaryInternetFiles\Content.Outlook\7KDZC33C\roberthazucha@azet.sk" TargetMode="External"/><Relationship Id="rId33" Type="http://schemas.openxmlformats.org/officeDocument/2006/relationships/hyperlink" Target="mailto:kniezova.lucia@1stclass.sk" TargetMode="External"/><Relationship Id="rId34" Type="http://schemas.openxmlformats.org/officeDocument/2006/relationships/footer" Target="footer1.xm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2016-08-17T11:59:00.00Z</dcterms:created>
  <dc:creator>Kniezova Lucia</dc:creator>
  <cp:lastModifiedBy>Lucia Kniezová</cp:lastModifiedBy>
  <cp:lastPrinted>2015-09-03T09:35:00.00Z</cp:lastPrinted>
  <dcterms:modified xsi:type="dcterms:W3CDTF">2016-08-17T11:59:00.00Z</dcterms:modified>
  <cp:revision>2</cp:revision>
</cp:coreProperties>
</file>